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1" w:rsidRPr="00F24911" w:rsidRDefault="002B23E4" w:rsidP="00F249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 w:rsidRPr="00F24911">
        <w:rPr>
          <w:rFonts w:ascii="Times New Roman" w:hAnsi="Times New Roman" w:cs="Times New Roman"/>
          <w:b/>
          <w:bCs/>
          <w:sz w:val="24"/>
          <w:szCs w:val="24"/>
          <w:lang w:val="da-DK"/>
        </w:rPr>
        <w:t>Supplementary Material</w:t>
      </w:r>
    </w:p>
    <w:p w:rsidR="006E268E" w:rsidRDefault="00F24911" w:rsidP="006E26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proofErr w:type="gramStart"/>
      <w:r w:rsidRPr="00F249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for</w:t>
      </w:r>
      <w:proofErr w:type="gramEnd"/>
      <w:r w:rsidRPr="00F249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‘Mothers and F</w:t>
      </w:r>
      <w:r w:rsidR="006E268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athers in Parliament: </w:t>
      </w:r>
      <w:r w:rsidRPr="00F249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MP </w:t>
      </w:r>
      <w:r w:rsidR="006E268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Parental Status and </w:t>
      </w:r>
      <w:r w:rsidRPr="00F2491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Family Gaps from a Global Perspective’</w:t>
      </w:r>
    </w:p>
    <w:p w:rsidR="002B23E4" w:rsidRPr="006E268E" w:rsidRDefault="002B23E4" w:rsidP="006E26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b/>
          <w:bCs/>
          <w:szCs w:val="22"/>
          <w:lang w:val="da-DK"/>
        </w:rPr>
        <w:tab/>
      </w:r>
    </w:p>
    <w:p w:rsidR="002B23E4" w:rsidRPr="0096031C" w:rsidRDefault="00F24911" w:rsidP="002B23E4">
      <w:pPr>
        <w:pStyle w:val="Body"/>
        <w:spacing w:after="160" w:line="259" w:lineRule="auto"/>
        <w:jc w:val="center"/>
        <w:rPr>
          <w:sz w:val="22"/>
          <w:szCs w:val="22"/>
          <w:u w:val="single"/>
        </w:rPr>
      </w:pPr>
      <w:r>
        <w:rPr>
          <w:u w:val="single"/>
        </w:rPr>
        <w:t>Supplementary Table S</w:t>
      </w:r>
      <w:r w:rsidR="002B23E4">
        <w:rPr>
          <w:u w:val="single"/>
        </w:rPr>
        <w:t>1: FsQCA Causal Conditions - Raw Scores</w:t>
      </w:r>
      <w:r w:rsidR="002B23E4">
        <w:rPr>
          <w:sz w:val="22"/>
          <w:szCs w:val="22"/>
          <w:u w:val="single"/>
        </w:rPr>
        <w:t xml:space="preserve"> 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841"/>
        <w:gridCol w:w="831"/>
        <w:gridCol w:w="1091"/>
        <w:gridCol w:w="816"/>
        <w:gridCol w:w="786"/>
        <w:gridCol w:w="956"/>
        <w:gridCol w:w="1321"/>
        <w:gridCol w:w="1170"/>
      </w:tblGrid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Parliament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MP Child Gap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Young Women</w:t>
            </w:r>
          </w:p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(% FMPs)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Female Parl. Committee Leaders (%)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Female</w:t>
            </w:r>
          </w:p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Labor Force Part. (%)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Per Capita Income (PPP USD)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Child Mortality Rate (‰)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Freedom</w:t>
            </w:r>
          </w:p>
          <w:p w:rsidR="002B23E4" w:rsidRDefault="002B23E4" w:rsidP="000C28B9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House</w:t>
            </w:r>
          </w:p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Rating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Lack of Corruption (CPI)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Afghanistan 2010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1.96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51.6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19.4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70.4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not 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Armenia 2012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30.8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51.2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10060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13.4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partly 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Armenia 2017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0.11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51.2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10060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13.4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partly 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35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Belarus 2016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0.40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58.7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18140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not 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44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Estonia 2014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0.70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44.4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56.5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31000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71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Iceland 2016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0.34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73.2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53640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77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Kazakhstan 2012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0.77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65.4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23440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not 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Kazakhstan 2016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13.8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65.4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23440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not 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31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Kyrgyzstan 2010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1.33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48.4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3620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21.1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partly 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Kyrgyzstan 2015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1.64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26.3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48.4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3620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21.1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partly 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29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Liechtenstein ‘17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-0.45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Lithuania 2016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0.84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25.0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55.9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31030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59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Monaco 2013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115700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South Korea 2016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0.41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52.2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38260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54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Switzerland 2015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0.39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62.9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65910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85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Tajikistan 2010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1.51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45.5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3670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43.1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not free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21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Pr="00F06F8E" w:rsidRDefault="002B23E4" w:rsidP="000C28B9">
            <w:pPr>
              <w:pStyle w:val="Body"/>
              <w:rPr>
                <w:b/>
                <w:bCs/>
                <w:sz w:val="18"/>
                <w:szCs w:val="18"/>
              </w:rPr>
            </w:pPr>
            <w:r w:rsidRPr="00F06F8E">
              <w:rPr>
                <w:b/>
                <w:bCs/>
                <w:sz w:val="18"/>
                <w:szCs w:val="18"/>
              </w:rPr>
              <w:t>QCA</w:t>
            </w:r>
            <w:r w:rsidRPr="00F06F8E">
              <w:rPr>
                <w:b/>
                <w:bCs/>
                <w:sz w:val="14"/>
                <w:szCs w:val="14"/>
              </w:rPr>
              <w:t xml:space="preserve"> </w:t>
            </w:r>
            <w:r w:rsidRPr="00F06F8E">
              <w:rPr>
                <w:b/>
                <w:bCs/>
                <w:sz w:val="18"/>
                <w:szCs w:val="18"/>
              </w:rPr>
              <w:t>Calibration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Full membership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1.50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0.40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66.6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40000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free (0.95)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66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Non-membership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free (0.05)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2B23E4" w:rsidRPr="00160D71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Crossover Point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30.0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33.3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0.50</w:t>
            </w:r>
          </w:p>
        </w:tc>
        <w:tc>
          <w:tcPr>
            <w:tcW w:w="1170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9D2CBE" w:rsidRDefault="009D2CBE" w:rsidP="002B23E4">
      <w:pPr>
        <w:pStyle w:val="Body"/>
        <w:spacing w:after="160" w:line="259" w:lineRule="auto"/>
        <w:jc w:val="center"/>
        <w:rPr>
          <w:i/>
          <w:iCs/>
          <w:sz w:val="18"/>
          <w:szCs w:val="18"/>
        </w:rPr>
      </w:pPr>
    </w:p>
    <w:p w:rsidR="002B23E4" w:rsidRPr="00F62B48" w:rsidRDefault="00F24911" w:rsidP="002B23E4">
      <w:pPr>
        <w:pStyle w:val="Body"/>
        <w:spacing w:after="160" w:line="259" w:lineRule="auto"/>
        <w:jc w:val="center"/>
        <w:rPr>
          <w:sz w:val="22"/>
          <w:szCs w:val="22"/>
          <w:u w:val="single"/>
        </w:rPr>
      </w:pPr>
      <w:r>
        <w:rPr>
          <w:u w:val="single"/>
        </w:rPr>
        <w:t>Supplementary Table S2</w:t>
      </w:r>
      <w:r w:rsidR="002B23E4">
        <w:rPr>
          <w:u w:val="single"/>
        </w:rPr>
        <w:t xml:space="preserve">: </w:t>
      </w:r>
      <w:proofErr w:type="spellStart"/>
      <w:r w:rsidR="002B23E4">
        <w:rPr>
          <w:u w:val="single"/>
        </w:rPr>
        <w:t>FsQCA</w:t>
      </w:r>
      <w:proofErr w:type="spellEnd"/>
      <w:r w:rsidR="002B23E4">
        <w:rPr>
          <w:u w:val="single"/>
        </w:rPr>
        <w:t xml:space="preserve"> Causal Conditions - Calibrated Scores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548"/>
        <w:gridCol w:w="841"/>
        <w:gridCol w:w="831"/>
        <w:gridCol w:w="1091"/>
        <w:gridCol w:w="816"/>
        <w:gridCol w:w="786"/>
        <w:gridCol w:w="956"/>
        <w:gridCol w:w="1321"/>
        <w:gridCol w:w="1165"/>
      </w:tblGrid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Parliament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MP Child Gap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Young Women</w:t>
            </w:r>
          </w:p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(% FMPs)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Female Parl. Committee Leaders (%)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Female</w:t>
            </w:r>
          </w:p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Labor Force Part. (%)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Per Capita Income (PPP USD)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Child Mortality Rate (‰)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Freedom</w:t>
            </w:r>
          </w:p>
          <w:p w:rsidR="002B23E4" w:rsidRDefault="002B23E4" w:rsidP="000C28B9">
            <w:pPr>
              <w:pStyle w:val="Bod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House</w:t>
            </w:r>
          </w:p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Rating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Lack of Corruption (CPI)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Afghanistan 2010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Armenia 2012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0.55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0.52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0.55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Armenia 2017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0.57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0.55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Belarus 2016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0.78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0.30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0.35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Estonia 2014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0.89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0.73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0.85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Iceland 2016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0.57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Kazakhstan 2012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0.48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  <w:hideMark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Kazakhstan 2016</w:t>
            </w:r>
          </w:p>
        </w:tc>
        <w:tc>
          <w:tcPr>
            <w:tcW w:w="84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83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1091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0.48</w:t>
            </w:r>
          </w:p>
        </w:tc>
        <w:tc>
          <w:tcPr>
            <w:tcW w:w="81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786" w:type="dxa"/>
            <w:noWrap/>
            <w:vAlign w:val="center"/>
            <w:hideMark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Kyrgyzstan 2010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0.83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0.11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Kyrgyzstan 2015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Liechtenstein ‘17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rPr>
                <w:sz w:val="18"/>
                <w:szCs w:val="18"/>
              </w:rPr>
            </w:pP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Lithuania 2016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0.34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0.71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0.65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0.80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Monaco 2013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  <w:rPr>
                <w:sz w:val="18"/>
                <w:szCs w:val="18"/>
              </w:rPr>
            </w:pP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South Korea 2016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0.56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0.82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0.70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Switzerland 2015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0.28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0.80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0.85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</w:tr>
      <w:tr w:rsidR="002B23E4" w:rsidTr="000C28B9">
        <w:trPr>
          <w:trHeight w:val="144"/>
          <w:jc w:val="center"/>
        </w:trPr>
        <w:tc>
          <w:tcPr>
            <w:tcW w:w="1548" w:type="dxa"/>
            <w:noWrap/>
            <w:vAlign w:val="center"/>
          </w:tcPr>
          <w:p w:rsidR="002B23E4" w:rsidRDefault="002B23E4" w:rsidP="000C28B9">
            <w:pPr>
              <w:pStyle w:val="Body"/>
            </w:pPr>
            <w:r>
              <w:rPr>
                <w:sz w:val="18"/>
                <w:szCs w:val="18"/>
              </w:rPr>
              <w:t>Tajikistan 2010</w:t>
            </w:r>
          </w:p>
        </w:tc>
        <w:tc>
          <w:tcPr>
            <w:tcW w:w="84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83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091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81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786" w:type="dxa"/>
            <w:noWrap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956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321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1165" w:type="dxa"/>
            <w:vAlign w:val="center"/>
          </w:tcPr>
          <w:p w:rsidR="002B23E4" w:rsidRDefault="002B23E4" w:rsidP="000C28B9">
            <w:pPr>
              <w:pStyle w:val="Body"/>
              <w:jc w:val="center"/>
            </w:pPr>
            <w:r>
              <w:rPr>
                <w:sz w:val="18"/>
                <w:szCs w:val="18"/>
              </w:rPr>
              <w:t>0.05</w:t>
            </w:r>
          </w:p>
        </w:tc>
      </w:tr>
    </w:tbl>
    <w:p w:rsidR="002B23E4" w:rsidRDefault="002B23E4" w:rsidP="002B23E4">
      <w:pPr>
        <w:pStyle w:val="Body"/>
        <w:rPr>
          <w:sz w:val="18"/>
          <w:szCs w:val="18"/>
        </w:rPr>
      </w:pPr>
      <w:r w:rsidRPr="00F177A2">
        <w:rPr>
          <w:i/>
          <w:iCs/>
          <w:sz w:val="18"/>
          <w:szCs w:val="18"/>
        </w:rPr>
        <w:t>Note:</w:t>
      </w:r>
      <w:r>
        <w:rPr>
          <w:sz w:val="18"/>
          <w:szCs w:val="18"/>
        </w:rPr>
        <w:t xml:space="preserve"> For Freedom House Rankings, ‘Partly Free’ (0.65) was set above the crossover point of 0.50.</w:t>
      </w:r>
    </w:p>
    <w:p w:rsidR="002B23E4" w:rsidRDefault="002B23E4" w:rsidP="002B23E4">
      <w:pPr>
        <w:pStyle w:val="Body"/>
        <w:rPr>
          <w:sz w:val="22"/>
          <w:szCs w:val="22"/>
        </w:rPr>
      </w:pPr>
    </w:p>
    <w:p w:rsidR="002B23E4" w:rsidRDefault="002B23E4" w:rsidP="002B23E4">
      <w:pPr>
        <w:pStyle w:val="Body"/>
        <w:rPr>
          <w:sz w:val="22"/>
          <w:szCs w:val="22"/>
        </w:rPr>
      </w:pPr>
    </w:p>
    <w:p w:rsidR="002B23E4" w:rsidRDefault="00F24911" w:rsidP="002B23E4">
      <w:pPr>
        <w:pStyle w:val="Body"/>
        <w:spacing w:after="160" w:line="259" w:lineRule="auto"/>
        <w:jc w:val="center"/>
        <w:rPr>
          <w:sz w:val="22"/>
          <w:szCs w:val="22"/>
          <w:u w:val="single"/>
        </w:rPr>
      </w:pPr>
      <w:r>
        <w:rPr>
          <w:u w:val="single"/>
        </w:rPr>
        <w:t>Supplementary Table S3</w:t>
      </w:r>
      <w:r w:rsidR="002B23E4">
        <w:rPr>
          <w:sz w:val="22"/>
          <w:szCs w:val="22"/>
          <w:u w:val="single"/>
        </w:rPr>
        <w:t>: FsQCA Causal Conditions and Outcome – Data Sources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6948"/>
      </w:tblGrid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b/>
                <w:sz w:val="18"/>
                <w:szCs w:val="22"/>
              </w:rPr>
            </w:pPr>
            <w:r w:rsidRPr="000731BA">
              <w:rPr>
                <w:b/>
                <w:sz w:val="18"/>
                <w:szCs w:val="22"/>
              </w:rPr>
              <w:t>Outcome</w:t>
            </w:r>
          </w:p>
        </w:tc>
        <w:tc>
          <w:tcPr>
            <w:tcW w:w="6948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b/>
                <w:sz w:val="18"/>
                <w:szCs w:val="22"/>
              </w:rPr>
            </w:pPr>
            <w:r w:rsidRPr="000731BA">
              <w:rPr>
                <w:b/>
                <w:sz w:val="18"/>
                <w:szCs w:val="22"/>
              </w:rPr>
              <w:t>Data Sources</w:t>
            </w:r>
          </w:p>
        </w:tc>
      </w:tr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>MP Child Gaps</w:t>
            </w:r>
          </w:p>
        </w:tc>
        <w:tc>
          <w:tcPr>
            <w:tcW w:w="6948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Compiled </w:t>
            </w:r>
            <w:r w:rsidRPr="000731BA">
              <w:rPr>
                <w:sz w:val="18"/>
                <w:szCs w:val="22"/>
              </w:rPr>
              <w:t xml:space="preserve">from </w:t>
            </w:r>
            <w:r>
              <w:rPr>
                <w:sz w:val="18"/>
                <w:szCs w:val="22"/>
              </w:rPr>
              <w:t xml:space="preserve">member bios posted on </w:t>
            </w:r>
            <w:r w:rsidRPr="000731BA">
              <w:rPr>
                <w:sz w:val="18"/>
                <w:szCs w:val="22"/>
              </w:rPr>
              <w:t xml:space="preserve">national parliament (lower or single house) websites with additional data on Afghanistan from the </w:t>
            </w:r>
            <w:proofErr w:type="spellStart"/>
            <w:r w:rsidRPr="000731BA">
              <w:rPr>
                <w:sz w:val="18"/>
                <w:szCs w:val="22"/>
              </w:rPr>
              <w:t>Wolesi</w:t>
            </w:r>
            <w:proofErr w:type="spellEnd"/>
            <w:r w:rsidRPr="000731BA">
              <w:rPr>
                <w:sz w:val="18"/>
                <w:szCs w:val="22"/>
              </w:rPr>
              <w:t xml:space="preserve"> Jirga Directory and on South Korea from </w:t>
            </w:r>
            <w:proofErr w:type="spellStart"/>
            <w:r w:rsidRPr="000731BA">
              <w:rPr>
                <w:sz w:val="18"/>
                <w:szCs w:val="22"/>
              </w:rPr>
              <w:t>Namuwiki</w:t>
            </w:r>
            <w:proofErr w:type="spellEnd"/>
            <w:r w:rsidRPr="000731BA">
              <w:rPr>
                <w:sz w:val="18"/>
                <w:szCs w:val="22"/>
              </w:rPr>
              <w:t xml:space="preserve"> (</w:t>
            </w:r>
            <w:r w:rsidRPr="000D2342">
              <w:rPr>
                <w:sz w:val="14"/>
                <w:szCs w:val="22"/>
              </w:rPr>
              <w:t>나무위키</w:t>
            </w:r>
            <w:r w:rsidRPr="000731BA">
              <w:rPr>
                <w:sz w:val="14"/>
                <w:szCs w:val="22"/>
              </w:rPr>
              <w:t xml:space="preserve">) </w:t>
            </w:r>
            <w:r w:rsidRPr="000731BA">
              <w:rPr>
                <w:sz w:val="18"/>
                <w:szCs w:val="22"/>
              </w:rPr>
              <w:t xml:space="preserve">and other Korean language Internet sources. </w:t>
            </w:r>
          </w:p>
        </w:tc>
      </w:tr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b/>
                <w:sz w:val="18"/>
                <w:szCs w:val="22"/>
              </w:rPr>
            </w:pPr>
            <w:r w:rsidRPr="000731BA">
              <w:rPr>
                <w:b/>
                <w:sz w:val="18"/>
                <w:szCs w:val="22"/>
              </w:rPr>
              <w:t>Causal Conditions</w:t>
            </w:r>
          </w:p>
        </w:tc>
        <w:tc>
          <w:tcPr>
            <w:tcW w:w="6948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b/>
                <w:sz w:val="18"/>
                <w:szCs w:val="22"/>
              </w:rPr>
            </w:pPr>
            <w:r w:rsidRPr="000731BA">
              <w:rPr>
                <w:b/>
                <w:sz w:val="18"/>
                <w:szCs w:val="22"/>
              </w:rPr>
              <w:t>Data Sources</w:t>
            </w:r>
          </w:p>
        </w:tc>
      </w:tr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>Young Women (under age 40) as % of FMPs</w:t>
            </w:r>
          </w:p>
        </w:tc>
        <w:tc>
          <w:tcPr>
            <w:tcW w:w="6948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Parliament websites</w:t>
            </w:r>
          </w:p>
        </w:tc>
      </w:tr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>Fem</w:t>
            </w:r>
            <w:r>
              <w:rPr>
                <w:sz w:val="18"/>
                <w:szCs w:val="22"/>
              </w:rPr>
              <w:t>ales (as %) of all Parl.</w:t>
            </w:r>
            <w:r w:rsidRPr="000731BA">
              <w:rPr>
                <w:sz w:val="18"/>
                <w:szCs w:val="22"/>
              </w:rPr>
              <w:t xml:space="preserve"> Committee Leaders </w:t>
            </w:r>
          </w:p>
        </w:tc>
        <w:tc>
          <w:tcPr>
            <w:tcW w:w="6948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Parliament websites</w:t>
            </w:r>
          </w:p>
        </w:tc>
      </w:tr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 xml:space="preserve">2016 Child </w:t>
            </w:r>
            <w:r>
              <w:rPr>
                <w:sz w:val="18"/>
                <w:szCs w:val="22"/>
              </w:rPr>
              <w:t>Survival</w:t>
            </w:r>
            <w:r w:rsidRPr="000731BA">
              <w:rPr>
                <w:sz w:val="18"/>
                <w:szCs w:val="22"/>
              </w:rPr>
              <w:t xml:space="preserve"> Rate </w:t>
            </w:r>
          </w:p>
          <w:p w:rsidR="002B23E4" w:rsidRPr="000731BA" w:rsidRDefault="002B23E4" w:rsidP="000C28B9">
            <w:pPr>
              <w:pStyle w:val="Body"/>
              <w:spacing w:line="259" w:lineRule="auto"/>
              <w:rPr>
                <w:b/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>(under age five)</w:t>
            </w:r>
          </w:p>
        </w:tc>
        <w:tc>
          <w:tcPr>
            <w:tcW w:w="6948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 xml:space="preserve">World Health Organization: </w:t>
            </w:r>
            <w:r w:rsidRPr="000731BA">
              <w:rPr>
                <w:i/>
                <w:sz w:val="18"/>
                <w:szCs w:val="22"/>
              </w:rPr>
              <w:t>World Health Report 2018: Monitoring Health for the SDGs</w:t>
            </w:r>
            <w:r w:rsidRPr="000731BA">
              <w:rPr>
                <w:sz w:val="18"/>
                <w:szCs w:val="22"/>
              </w:rPr>
              <w:t xml:space="preserve">  </w:t>
            </w:r>
          </w:p>
        </w:tc>
      </w:tr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 xml:space="preserve">2016 Female Labor Force Participation (%) </w:t>
            </w:r>
          </w:p>
        </w:tc>
        <w:tc>
          <w:tcPr>
            <w:tcW w:w="6948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 xml:space="preserve">World Bank: </w:t>
            </w:r>
            <w:r w:rsidRPr="000D2342">
              <w:rPr>
                <w:i/>
                <w:sz w:val="18"/>
                <w:szCs w:val="22"/>
              </w:rPr>
              <w:t>World Development Indicators</w:t>
            </w:r>
            <w:r w:rsidRPr="000731BA">
              <w:rPr>
                <w:sz w:val="18"/>
                <w:szCs w:val="22"/>
              </w:rPr>
              <w:t xml:space="preserve"> (as searched on August 14, 2018) &lt;https://data.worldbank.org/products/wdi&gt;</w:t>
            </w:r>
          </w:p>
        </w:tc>
      </w:tr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>2017 USD Per Capita Income (PPP)</w:t>
            </w:r>
          </w:p>
        </w:tc>
        <w:tc>
          <w:tcPr>
            <w:tcW w:w="6948" w:type="dxa"/>
            <w:noWrap/>
            <w:hideMark/>
          </w:tcPr>
          <w:p w:rsidR="002B23E4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 xml:space="preserve">Same as above except for Monaco and Liechtenstein obtained from CIA World Factbook </w:t>
            </w:r>
          </w:p>
          <w:p w:rsidR="002B23E4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</w:t>
            </w:r>
            <w:r w:rsidR="00F24911">
              <w:rPr>
                <w:sz w:val="18"/>
                <w:szCs w:val="22"/>
              </w:rPr>
              <w:t>as s</w:t>
            </w:r>
            <w:r w:rsidR="00F24911" w:rsidRPr="000731BA">
              <w:rPr>
                <w:sz w:val="18"/>
                <w:szCs w:val="22"/>
              </w:rPr>
              <w:t>earched</w:t>
            </w:r>
            <w:r w:rsidRPr="000731BA">
              <w:rPr>
                <w:sz w:val="18"/>
                <w:szCs w:val="22"/>
              </w:rPr>
              <w:t xml:space="preserve"> on August 14, 2018). </w:t>
            </w:r>
          </w:p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>&lt;https://www.cia.gov/library/publications/the-world-factbook/&gt;</w:t>
            </w:r>
          </w:p>
        </w:tc>
      </w:tr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2017 Lack of Corruption </w:t>
            </w:r>
            <w:r w:rsidRPr="000731BA">
              <w:rPr>
                <w:sz w:val="18"/>
                <w:szCs w:val="22"/>
              </w:rPr>
              <w:t>(CPI)</w:t>
            </w:r>
          </w:p>
        </w:tc>
        <w:tc>
          <w:tcPr>
            <w:tcW w:w="6948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>Transparency International: Corruption Perceptions Index (CPI) &lt;https://www.transparency.org/news/feature/corruption_perceptions_index_2017&gt;</w:t>
            </w:r>
          </w:p>
        </w:tc>
      </w:tr>
      <w:tr w:rsidR="002B23E4" w:rsidRPr="000731BA" w:rsidTr="000C28B9">
        <w:trPr>
          <w:trHeight w:val="57"/>
          <w:jc w:val="center"/>
        </w:trPr>
        <w:tc>
          <w:tcPr>
            <w:tcW w:w="2442" w:type="dxa"/>
            <w:noWrap/>
            <w:hideMark/>
          </w:tcPr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>2018 Political Freedom (FH)</w:t>
            </w:r>
          </w:p>
        </w:tc>
        <w:tc>
          <w:tcPr>
            <w:tcW w:w="6948" w:type="dxa"/>
            <w:noWrap/>
            <w:hideMark/>
          </w:tcPr>
          <w:p w:rsidR="002B23E4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 xml:space="preserve">Freedom House: Freedom in the World 2018 </w:t>
            </w:r>
          </w:p>
          <w:p w:rsidR="002B23E4" w:rsidRPr="000731BA" w:rsidRDefault="002B23E4" w:rsidP="000C28B9">
            <w:pPr>
              <w:pStyle w:val="Body"/>
              <w:spacing w:line="259" w:lineRule="auto"/>
              <w:rPr>
                <w:sz w:val="18"/>
                <w:szCs w:val="22"/>
              </w:rPr>
            </w:pPr>
            <w:r w:rsidRPr="000731BA">
              <w:rPr>
                <w:sz w:val="18"/>
                <w:szCs w:val="22"/>
              </w:rPr>
              <w:t>&lt;https://freedomhouse.org/report/freedom-world-2018-table-country-scores</w:t>
            </w:r>
          </w:p>
        </w:tc>
      </w:tr>
    </w:tbl>
    <w:p w:rsidR="002B23E4" w:rsidRDefault="002B23E4" w:rsidP="002B23E4">
      <w:pPr>
        <w:pStyle w:val="Body"/>
        <w:spacing w:line="259" w:lineRule="auto"/>
        <w:jc w:val="center"/>
        <w:rPr>
          <w:sz w:val="22"/>
          <w:szCs w:val="22"/>
        </w:rPr>
      </w:pPr>
    </w:p>
    <w:p w:rsidR="002B23E4" w:rsidRDefault="00F24911" w:rsidP="002B23E4">
      <w:pPr>
        <w:pStyle w:val="Body"/>
        <w:jc w:val="center"/>
        <w:rPr>
          <w:u w:val="single"/>
        </w:rPr>
      </w:pPr>
      <w:r>
        <w:rPr>
          <w:u w:val="single"/>
        </w:rPr>
        <w:t>Supplementary Table S4</w:t>
      </w:r>
      <w:r w:rsidR="002B23E4">
        <w:rPr>
          <w:u w:val="single"/>
        </w:rPr>
        <w:t>: QCA Solution Formulas for the Outcome of High Child Gaps</w:t>
      </w:r>
    </w:p>
    <w:p w:rsidR="002B23E4" w:rsidRDefault="002B23E4" w:rsidP="002B23E4">
      <w:pPr>
        <w:pStyle w:val="Body"/>
        <w:jc w:val="center"/>
        <w:rPr>
          <w:u w:val="single"/>
        </w:rPr>
      </w:pPr>
    </w:p>
    <w:tbl>
      <w:tblPr>
        <w:tblStyle w:val="TableGrid"/>
        <w:tblW w:w="9107" w:type="dxa"/>
        <w:jc w:val="center"/>
        <w:tblLook w:val="04A0" w:firstRow="1" w:lastRow="0" w:firstColumn="1" w:lastColumn="0" w:noHBand="0" w:noVBand="1"/>
      </w:tblPr>
      <w:tblGrid>
        <w:gridCol w:w="4398"/>
        <w:gridCol w:w="1537"/>
        <w:gridCol w:w="988"/>
        <w:gridCol w:w="990"/>
        <w:gridCol w:w="1194"/>
      </w:tblGrid>
      <w:tr w:rsidR="002B23E4" w:rsidRPr="00D75B45" w:rsidTr="000C28B9">
        <w:trPr>
          <w:trHeight w:val="144"/>
          <w:jc w:val="center"/>
        </w:trPr>
        <w:tc>
          <w:tcPr>
            <w:tcW w:w="4398" w:type="dxa"/>
            <w:noWrap/>
            <w:hideMark/>
          </w:tcPr>
          <w:p w:rsidR="002B23E4" w:rsidRPr="00D75B45" w:rsidRDefault="002B23E4" w:rsidP="000C28B9">
            <w:pPr>
              <w:rPr>
                <w:b/>
                <w:bCs/>
                <w:sz w:val="18"/>
                <w:szCs w:val="18"/>
              </w:rPr>
            </w:pPr>
            <w:r w:rsidRPr="00D75B45">
              <w:rPr>
                <w:b/>
                <w:bCs/>
                <w:sz w:val="18"/>
                <w:szCs w:val="18"/>
              </w:rPr>
              <w:t xml:space="preserve">Complex Solution: </w:t>
            </w:r>
          </w:p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 xml:space="preserve">Frequency cutoff: 1; Consistency cutoff: 0.89; </w:t>
            </w:r>
          </w:p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Solution coverage: 0.77; Solution consistency: 0.93</w:t>
            </w:r>
          </w:p>
        </w:tc>
        <w:tc>
          <w:tcPr>
            <w:tcW w:w="1537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Cases with ≥ 0.5 member-ship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Raw Coverage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Unique Coverage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Consistency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39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1) ~PCI*~CSR*~FH*~CPI*~FLPC*~YFMP</w:t>
            </w:r>
          </w:p>
        </w:tc>
        <w:tc>
          <w:tcPr>
            <w:tcW w:w="1537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Kazakhstan, Tajikistan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0.51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0.15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0.91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39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2) ~PCI*~FLPR*~CSR*~CPI*~FLPC*~YFMP</w:t>
            </w:r>
          </w:p>
        </w:tc>
        <w:tc>
          <w:tcPr>
            <w:tcW w:w="1537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Tajikistan, Kyrgyzstan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0.46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0.05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0.94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39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3) ~PCI*~FLPR*~CSR*~FH*~CPI*~FLPC</w:t>
            </w:r>
          </w:p>
        </w:tc>
        <w:tc>
          <w:tcPr>
            <w:tcW w:w="1537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Afghanistan,</w:t>
            </w:r>
          </w:p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Tajikistan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0.48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0.13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0.95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39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4) ~PCI*FLPR*~CSR*FH*~CPI*~FLPC*YFMP</w:t>
            </w:r>
          </w:p>
        </w:tc>
        <w:tc>
          <w:tcPr>
            <w:tcW w:w="1537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Armenia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0.32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0.03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1.00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39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b/>
                <w:bCs/>
                <w:sz w:val="18"/>
                <w:szCs w:val="18"/>
              </w:rPr>
              <w:t>Parsimonious Solution:</w:t>
            </w:r>
            <w:r w:rsidRPr="00D75B45">
              <w:rPr>
                <w:sz w:val="18"/>
                <w:szCs w:val="18"/>
              </w:rPr>
              <w:t xml:space="preserve"> </w:t>
            </w:r>
          </w:p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Frequency cutoff: 1; Consistency cutoff: 0.89; Solution coverage: 1; Solution consistency: 0.77</w:t>
            </w:r>
          </w:p>
        </w:tc>
        <w:tc>
          <w:tcPr>
            <w:tcW w:w="1537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39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 xml:space="preserve">1) ~CSR </w:t>
            </w:r>
          </w:p>
        </w:tc>
        <w:tc>
          <w:tcPr>
            <w:tcW w:w="1537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Afghanistan, Armenia, Kazakhstan, Kyrgyzstan, Tajikistan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0.98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0.09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0.78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39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 xml:space="preserve">2) ~CPI*~FLPC </w:t>
            </w:r>
          </w:p>
        </w:tc>
        <w:tc>
          <w:tcPr>
            <w:tcW w:w="1537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Same as above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0.86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0.00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 xml:space="preserve">0.86 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39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 xml:space="preserve">3) ~PCI*~FLPC </w:t>
            </w:r>
          </w:p>
        </w:tc>
        <w:tc>
          <w:tcPr>
            <w:tcW w:w="1537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Same as above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0.91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0.02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 xml:space="preserve">0.89 </w:t>
            </w:r>
          </w:p>
        </w:tc>
      </w:tr>
    </w:tbl>
    <w:p w:rsidR="002B23E4" w:rsidRPr="00D75B45" w:rsidRDefault="002B23E4" w:rsidP="002B23E4">
      <w:pPr>
        <w:pStyle w:val="Body"/>
        <w:ind w:left="142"/>
        <w:rPr>
          <w:sz w:val="18"/>
          <w:szCs w:val="18"/>
        </w:rPr>
      </w:pPr>
      <w:r w:rsidRPr="00D75B45">
        <w:rPr>
          <w:i/>
          <w:iCs/>
          <w:sz w:val="18"/>
          <w:szCs w:val="18"/>
        </w:rPr>
        <w:t>Notes:</w:t>
      </w:r>
      <w:r w:rsidRPr="00D75B45">
        <w:rPr>
          <w:sz w:val="18"/>
          <w:szCs w:val="18"/>
        </w:rPr>
        <w:t xml:space="preserve"> ~ indicates ‘not’ (i.e. low).  * indicates ‘logical and’.  </w:t>
      </w:r>
    </w:p>
    <w:p w:rsidR="00F24911" w:rsidRPr="0096031C" w:rsidRDefault="00F24911" w:rsidP="002B23E4">
      <w:pPr>
        <w:pStyle w:val="Body"/>
        <w:ind w:left="270"/>
        <w:rPr>
          <w:sz w:val="20"/>
          <w:szCs w:val="20"/>
        </w:rPr>
      </w:pPr>
    </w:p>
    <w:p w:rsidR="002B23E4" w:rsidRDefault="00F24911" w:rsidP="002B23E4">
      <w:pPr>
        <w:pStyle w:val="Body"/>
        <w:jc w:val="center"/>
        <w:rPr>
          <w:u w:val="single"/>
        </w:rPr>
      </w:pPr>
      <w:r>
        <w:rPr>
          <w:u w:val="single"/>
        </w:rPr>
        <w:t>Supplementary Table S5</w:t>
      </w:r>
      <w:r w:rsidR="002B23E4">
        <w:rPr>
          <w:u w:val="single"/>
        </w:rPr>
        <w:t>: QCA Solution Formulas for Outcome Negation (Low Child Gaps)</w:t>
      </w:r>
    </w:p>
    <w:p w:rsidR="002B23E4" w:rsidRPr="0096031C" w:rsidRDefault="002B23E4" w:rsidP="002B23E4">
      <w:pPr>
        <w:pStyle w:val="Body"/>
        <w:jc w:val="center"/>
        <w:rPr>
          <w:u w:val="single"/>
        </w:rPr>
      </w:pPr>
    </w:p>
    <w:tbl>
      <w:tblPr>
        <w:tblStyle w:val="TableGrid"/>
        <w:tblW w:w="9040" w:type="dxa"/>
        <w:jc w:val="center"/>
        <w:tblLook w:val="04A0" w:firstRow="1" w:lastRow="0" w:firstColumn="1" w:lastColumn="0" w:noHBand="0" w:noVBand="1"/>
      </w:tblPr>
      <w:tblGrid>
        <w:gridCol w:w="4567"/>
        <w:gridCol w:w="1301"/>
        <w:gridCol w:w="988"/>
        <w:gridCol w:w="990"/>
        <w:gridCol w:w="1194"/>
      </w:tblGrid>
      <w:tr w:rsidR="002B23E4" w:rsidRPr="00D75B45" w:rsidTr="000C28B9">
        <w:trPr>
          <w:trHeight w:val="144"/>
          <w:jc w:val="center"/>
        </w:trPr>
        <w:tc>
          <w:tcPr>
            <w:tcW w:w="4567" w:type="dxa"/>
            <w:noWrap/>
            <w:hideMark/>
          </w:tcPr>
          <w:p w:rsidR="002B23E4" w:rsidRPr="00D75B45" w:rsidRDefault="002B23E4" w:rsidP="000C28B9">
            <w:pPr>
              <w:rPr>
                <w:b/>
                <w:bCs/>
                <w:sz w:val="18"/>
                <w:szCs w:val="18"/>
              </w:rPr>
            </w:pPr>
            <w:r w:rsidRPr="00D75B45">
              <w:rPr>
                <w:b/>
                <w:bCs/>
                <w:sz w:val="18"/>
                <w:szCs w:val="18"/>
              </w:rPr>
              <w:t xml:space="preserve">Complex Solution: </w:t>
            </w:r>
          </w:p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 xml:space="preserve">Frequency cutoff: 1; Consistency cutoff: 1; </w:t>
            </w:r>
          </w:p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Solution coverage: 0.66; Solution consistency: 1</w:t>
            </w:r>
          </w:p>
        </w:tc>
        <w:tc>
          <w:tcPr>
            <w:tcW w:w="1301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Cases with ≥ 0.5 member-ship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Raw Coverage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Unique Coverage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  <w:r w:rsidRPr="00D75B45">
              <w:rPr>
                <w:sz w:val="18"/>
                <w:szCs w:val="18"/>
              </w:rPr>
              <w:t>Consistency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567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1) PCI*FLPR*CSR*FH*CPI</w:t>
            </w:r>
          </w:p>
        </w:tc>
        <w:tc>
          <w:tcPr>
            <w:tcW w:w="1301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 xml:space="preserve">Iceland, Estonia, Lithuania, </w:t>
            </w:r>
            <w:r>
              <w:rPr>
                <w:rFonts w:eastAsia="Calibri" w:cs="Times New Roman"/>
                <w:sz w:val="18"/>
                <w:szCs w:val="18"/>
              </w:rPr>
              <w:t xml:space="preserve">South </w:t>
            </w:r>
            <w:r w:rsidRPr="00D75B45">
              <w:rPr>
                <w:rFonts w:eastAsia="Calibri" w:cs="Times New Roman"/>
                <w:sz w:val="18"/>
                <w:szCs w:val="18"/>
              </w:rPr>
              <w:t xml:space="preserve">Korea, </w:t>
            </w:r>
            <w:r w:rsidRPr="00D75B45">
              <w:rPr>
                <w:rFonts w:eastAsia="Calibri" w:cs="Times New Roman"/>
                <w:sz w:val="18"/>
                <w:szCs w:val="18"/>
              </w:rPr>
              <w:lastRenderedPageBreak/>
              <w:t>Switzerland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lastRenderedPageBreak/>
              <w:t>0.58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0.48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pStyle w:val="Body"/>
              <w:spacing w:line="259" w:lineRule="auto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1.00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567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lastRenderedPageBreak/>
              <w:t>2) ~PCI*FLPR*CSR*~FH*~CPI*FLPC*~YFMP</w:t>
            </w:r>
          </w:p>
        </w:tc>
        <w:tc>
          <w:tcPr>
            <w:tcW w:w="1301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Belarus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0.19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0.09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 xml:space="preserve">1.00 </w:t>
            </w: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567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D75B45">
              <w:rPr>
                <w:rFonts w:eastAsia="Calibri" w:cs="Times New Roman"/>
                <w:b/>
                <w:bCs/>
                <w:sz w:val="18"/>
                <w:szCs w:val="18"/>
              </w:rPr>
              <w:t xml:space="preserve">Parsimonious Solution: </w:t>
            </w:r>
          </w:p>
          <w:p w:rsidR="002B23E4" w:rsidRPr="00D75B45" w:rsidRDefault="002B23E4" w:rsidP="000C28B9">
            <w:pPr>
              <w:pStyle w:val="Body"/>
              <w:rPr>
                <w:rFonts w:eastAsia="Calibri"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 xml:space="preserve">Frequency cutoff: 1; Consistency cutoff: 1; </w:t>
            </w:r>
          </w:p>
          <w:p w:rsidR="002B23E4" w:rsidRPr="00D75B45" w:rsidRDefault="002B23E4" w:rsidP="000C28B9">
            <w:pPr>
              <w:pStyle w:val="Body"/>
              <w:rPr>
                <w:rFonts w:eastAsia="Calibri"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Solution coverage: 0.72; Solution consistency: 0.98</w:t>
            </w:r>
          </w:p>
        </w:tc>
        <w:tc>
          <w:tcPr>
            <w:tcW w:w="1301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rPr>
                <w:sz w:val="18"/>
                <w:szCs w:val="18"/>
              </w:rPr>
            </w:pPr>
          </w:p>
        </w:tc>
      </w:tr>
      <w:tr w:rsidR="002B23E4" w:rsidRPr="00D75B45" w:rsidTr="000C28B9">
        <w:trPr>
          <w:trHeight w:val="144"/>
          <w:jc w:val="center"/>
        </w:trPr>
        <w:tc>
          <w:tcPr>
            <w:tcW w:w="4567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1) CSR</w:t>
            </w:r>
          </w:p>
        </w:tc>
        <w:tc>
          <w:tcPr>
            <w:tcW w:w="1301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Iceland, Estonia, Korea, Belarus, Switzerland, Lithuania</w:t>
            </w:r>
          </w:p>
        </w:tc>
        <w:tc>
          <w:tcPr>
            <w:tcW w:w="988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0.72</w:t>
            </w:r>
          </w:p>
        </w:tc>
        <w:tc>
          <w:tcPr>
            <w:tcW w:w="990" w:type="dxa"/>
            <w:noWrap/>
            <w:hideMark/>
          </w:tcPr>
          <w:p w:rsidR="002B23E4" w:rsidRPr="00D75B45" w:rsidRDefault="002B23E4" w:rsidP="000C28B9">
            <w:pPr>
              <w:pStyle w:val="Body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0.72</w:t>
            </w:r>
          </w:p>
        </w:tc>
        <w:tc>
          <w:tcPr>
            <w:tcW w:w="1194" w:type="dxa"/>
            <w:noWrap/>
            <w:hideMark/>
          </w:tcPr>
          <w:p w:rsidR="002B23E4" w:rsidRPr="00D75B45" w:rsidRDefault="002B23E4" w:rsidP="000C28B9">
            <w:pPr>
              <w:pStyle w:val="Body"/>
              <w:spacing w:line="259" w:lineRule="auto"/>
              <w:rPr>
                <w:rFonts w:cs="Times New Roman"/>
                <w:sz w:val="18"/>
                <w:szCs w:val="18"/>
              </w:rPr>
            </w:pPr>
            <w:r w:rsidRPr="00D75B45">
              <w:rPr>
                <w:rFonts w:eastAsia="Calibri" w:cs="Times New Roman"/>
                <w:sz w:val="18"/>
                <w:szCs w:val="18"/>
              </w:rPr>
              <w:t>0.98</w:t>
            </w:r>
          </w:p>
        </w:tc>
      </w:tr>
    </w:tbl>
    <w:p w:rsidR="002B23E4" w:rsidRPr="00D75B45" w:rsidRDefault="002B23E4" w:rsidP="002B23E4">
      <w:pPr>
        <w:pStyle w:val="Body"/>
        <w:ind w:left="142"/>
        <w:rPr>
          <w:sz w:val="18"/>
          <w:szCs w:val="18"/>
        </w:rPr>
      </w:pPr>
      <w:r w:rsidRPr="00D75B45">
        <w:rPr>
          <w:i/>
          <w:iCs/>
          <w:sz w:val="18"/>
          <w:szCs w:val="18"/>
        </w:rPr>
        <w:t>Notes:</w:t>
      </w:r>
      <w:r w:rsidRPr="00D75B45">
        <w:rPr>
          <w:sz w:val="18"/>
          <w:szCs w:val="18"/>
        </w:rPr>
        <w:t xml:space="preserve"> ~ indicates ‘not’ (i.e. low).  * indicates ‘logical and’.  </w:t>
      </w:r>
    </w:p>
    <w:p w:rsidR="000C28B9" w:rsidRDefault="000C28B9" w:rsidP="000C28B9">
      <w:pPr>
        <w:spacing w:after="0"/>
        <w:jc w:val="center"/>
      </w:pPr>
    </w:p>
    <w:p w:rsidR="00836850" w:rsidRPr="002568FB" w:rsidRDefault="00836850" w:rsidP="00836850">
      <w:pPr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bookmarkStart w:id="0" w:name="_GoBack"/>
      <w:bookmarkEnd w:id="0"/>
      <w:r w:rsidRPr="002568FB">
        <w:rPr>
          <w:rFonts w:ascii="Times New Roman" w:hAnsi="Times New Roman" w:cs="Times New Roman"/>
          <w:sz w:val="24"/>
          <w:szCs w:val="24"/>
          <w:highlight w:val="yellow"/>
          <w:u w:val="single"/>
        </w:rPr>
        <w:t>Supplementary Table 6S: Country Background Information</w:t>
      </w: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1578"/>
        <w:gridCol w:w="1400"/>
        <w:gridCol w:w="1842"/>
        <w:gridCol w:w="866"/>
        <w:gridCol w:w="1544"/>
        <w:gridCol w:w="1418"/>
      </w:tblGrid>
      <w:tr w:rsidR="000C28B9" w:rsidRPr="002568FB" w:rsidTr="00864D2C">
        <w:trPr>
          <w:jc w:val="center"/>
        </w:trPr>
        <w:tc>
          <w:tcPr>
            <w:tcW w:w="1578" w:type="dxa"/>
          </w:tcPr>
          <w:p w:rsidR="00836850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Territory</w:t>
            </w:r>
          </w:p>
        </w:tc>
        <w:tc>
          <w:tcPr>
            <w:tcW w:w="1400" w:type="dxa"/>
          </w:tcPr>
          <w:p w:rsidR="00836850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 xml:space="preserve">World </w:t>
            </w:r>
            <w:r w:rsidR="00836850" w:rsidRPr="002568FB">
              <w:rPr>
                <w:sz w:val="18"/>
                <w:szCs w:val="18"/>
                <w:highlight w:val="yellow"/>
              </w:rPr>
              <w:t>Region</w:t>
            </w:r>
          </w:p>
        </w:tc>
        <w:tc>
          <w:tcPr>
            <w:tcW w:w="1842" w:type="dxa"/>
          </w:tcPr>
          <w:p w:rsidR="00836850" w:rsidRPr="002568FB" w:rsidRDefault="00836850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Regime Type</w:t>
            </w:r>
          </w:p>
        </w:tc>
        <w:tc>
          <w:tcPr>
            <w:tcW w:w="866" w:type="dxa"/>
          </w:tcPr>
          <w:p w:rsidR="00836850" w:rsidRPr="002568FB" w:rsidRDefault="00836850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System</w:t>
            </w:r>
          </w:p>
        </w:tc>
        <w:tc>
          <w:tcPr>
            <w:tcW w:w="1544" w:type="dxa"/>
          </w:tcPr>
          <w:p w:rsidR="00836850" w:rsidRPr="002568FB" w:rsidRDefault="000F651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MP Family Data</w:t>
            </w:r>
            <w:r w:rsidR="00864D2C" w:rsidRPr="002568FB">
              <w:rPr>
                <w:sz w:val="18"/>
                <w:szCs w:val="18"/>
                <w:highlight w:val="yellow"/>
              </w:rPr>
              <w:t xml:space="preserve"> Available</w:t>
            </w:r>
          </w:p>
        </w:tc>
        <w:tc>
          <w:tcPr>
            <w:tcW w:w="1418" w:type="dxa"/>
          </w:tcPr>
          <w:p w:rsidR="00836850" w:rsidRPr="002568FB" w:rsidRDefault="000F651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Women in Parliament (%</w:t>
            </w:r>
            <w:r w:rsidR="00864D2C" w:rsidRPr="002568FB">
              <w:rPr>
                <w:sz w:val="18"/>
                <w:szCs w:val="18"/>
                <w:highlight w:val="yellow"/>
              </w:rPr>
              <w:t xml:space="preserve">) </w:t>
            </w:r>
          </w:p>
        </w:tc>
      </w:tr>
      <w:tr w:rsidR="000C28B9" w:rsidRPr="002568FB" w:rsidTr="00864D2C">
        <w:trPr>
          <w:jc w:val="center"/>
        </w:trPr>
        <w:tc>
          <w:tcPr>
            <w:tcW w:w="1578" w:type="dxa"/>
            <w:vAlign w:val="center"/>
          </w:tcPr>
          <w:p w:rsidR="00836850" w:rsidRPr="002568FB" w:rsidRDefault="00836850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Afghanistan</w:t>
            </w:r>
          </w:p>
        </w:tc>
        <w:tc>
          <w:tcPr>
            <w:tcW w:w="1400" w:type="dxa"/>
          </w:tcPr>
          <w:p w:rsidR="00836850" w:rsidRPr="002568FB" w:rsidRDefault="000C28B9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West Asia</w:t>
            </w:r>
          </w:p>
        </w:tc>
        <w:tc>
          <w:tcPr>
            <w:tcW w:w="1842" w:type="dxa"/>
          </w:tcPr>
          <w:p w:rsidR="00836850" w:rsidRPr="002568FB" w:rsidRDefault="000F651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Autocracy</w:t>
            </w:r>
          </w:p>
        </w:tc>
        <w:tc>
          <w:tcPr>
            <w:tcW w:w="866" w:type="dxa"/>
          </w:tcPr>
          <w:p w:rsidR="00836850" w:rsidRPr="002568FB" w:rsidRDefault="000F651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SNTV</w:t>
            </w:r>
          </w:p>
        </w:tc>
        <w:tc>
          <w:tcPr>
            <w:tcW w:w="1544" w:type="dxa"/>
          </w:tcPr>
          <w:p w:rsidR="00836850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36850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23.6</w:t>
            </w:r>
          </w:p>
        </w:tc>
      </w:tr>
      <w:tr w:rsidR="000C28B9" w:rsidRPr="002568FB" w:rsidTr="00864D2C">
        <w:trPr>
          <w:jc w:val="center"/>
        </w:trPr>
        <w:tc>
          <w:tcPr>
            <w:tcW w:w="1578" w:type="dxa"/>
            <w:vAlign w:val="center"/>
          </w:tcPr>
          <w:p w:rsidR="00836850" w:rsidRPr="002568FB" w:rsidRDefault="00836850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 xml:space="preserve">Armenia </w:t>
            </w:r>
          </w:p>
        </w:tc>
        <w:tc>
          <w:tcPr>
            <w:tcW w:w="1400" w:type="dxa"/>
          </w:tcPr>
          <w:p w:rsidR="00836850" w:rsidRPr="002568FB" w:rsidRDefault="000C28B9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Caucuses</w:t>
            </w:r>
          </w:p>
        </w:tc>
        <w:tc>
          <w:tcPr>
            <w:tcW w:w="1842" w:type="dxa"/>
          </w:tcPr>
          <w:p w:rsidR="00836850" w:rsidRPr="002568FB" w:rsidRDefault="000F651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Autocracy</w:t>
            </w:r>
          </w:p>
        </w:tc>
        <w:tc>
          <w:tcPr>
            <w:tcW w:w="866" w:type="dxa"/>
          </w:tcPr>
          <w:p w:rsidR="00836850" w:rsidRPr="002568FB" w:rsidRDefault="000F651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36850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36850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24.2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Belarus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East Europe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Autocracy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FPTP</w:t>
            </w:r>
          </w:p>
        </w:tc>
        <w:tc>
          <w:tcPr>
            <w:tcW w:w="1544" w:type="dxa"/>
          </w:tcPr>
          <w:p w:rsidR="00864D2C" w:rsidRPr="002568FB" w:rsidRDefault="00864D2C" w:rsidP="00864D2C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34.5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Bhutan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South Asia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FPTP</w:t>
            </w:r>
          </w:p>
        </w:tc>
        <w:tc>
          <w:tcPr>
            <w:tcW w:w="1544" w:type="dxa"/>
          </w:tcPr>
          <w:p w:rsidR="00864D2C" w:rsidRPr="002568FB" w:rsidRDefault="00864D2C" w:rsidP="00864D2C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14.9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Costa Rica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Latin America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Liberal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864D2C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45.6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Estonia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East Europe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Liberal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864D2C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28.7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864D2C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French Polynesia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Oceania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49.1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Georgia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Caucuses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Parallel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14.8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Iceland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West Europe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Liberal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38.1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India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South Asia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FPTP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12.6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Jordan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West Asia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Closed Autocracy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15.4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Kazakhstan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Central Asia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Autocracy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27.1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Kyrgyzstan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Central Asia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19.2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Liechtenstein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West Europe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Liberal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12.0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Lithuania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East Europe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Parallel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21.3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Mauritius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Africa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Democracy</w:t>
            </w:r>
          </w:p>
        </w:tc>
        <w:tc>
          <w:tcPr>
            <w:tcW w:w="866" w:type="dxa"/>
          </w:tcPr>
          <w:p w:rsidR="00864D2C" w:rsidRPr="002568FB" w:rsidRDefault="00FF5459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Block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11.6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Monaco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West Europe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Liberal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Parallel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33.3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Russia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East Europe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Autocracy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Parallel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15.8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South Korea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East Asia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Liberal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Parallel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17.1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Sri Lanka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South Asia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5.3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Switzerland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West Europe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Liberal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List PR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32.5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Tajikistan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Central Asia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Autocracy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Parallel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Marital, Children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19.0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Tonga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Oceania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Democracy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FPTP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7.4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Uganda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Africa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Autocracy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FPTP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34.9</w:t>
            </w:r>
          </w:p>
        </w:tc>
      </w:tr>
      <w:tr w:rsidR="00864D2C" w:rsidRPr="002568FB" w:rsidTr="00864D2C">
        <w:trPr>
          <w:jc w:val="center"/>
        </w:trPr>
        <w:tc>
          <w:tcPr>
            <w:tcW w:w="1578" w:type="dxa"/>
            <w:vAlign w:val="center"/>
          </w:tcPr>
          <w:p w:rsidR="00864D2C" w:rsidRPr="002568FB" w:rsidRDefault="00864D2C" w:rsidP="000C28B9">
            <w:pPr>
              <w:pStyle w:val="Body"/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Zambia</w:t>
            </w:r>
          </w:p>
        </w:tc>
        <w:tc>
          <w:tcPr>
            <w:tcW w:w="1400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Africa</w:t>
            </w:r>
          </w:p>
        </w:tc>
        <w:tc>
          <w:tcPr>
            <w:tcW w:w="1842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Electoral Autocracy</w:t>
            </w:r>
          </w:p>
        </w:tc>
        <w:tc>
          <w:tcPr>
            <w:tcW w:w="866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FPTP</w:t>
            </w:r>
          </w:p>
        </w:tc>
        <w:tc>
          <w:tcPr>
            <w:tcW w:w="1544" w:type="dxa"/>
          </w:tcPr>
          <w:p w:rsidR="00864D2C" w:rsidRPr="002568FB" w:rsidRDefault="00864D2C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Marital</w:t>
            </w:r>
          </w:p>
        </w:tc>
        <w:tc>
          <w:tcPr>
            <w:tcW w:w="1418" w:type="dxa"/>
          </w:tcPr>
          <w:p w:rsidR="00864D2C" w:rsidRPr="002568FB" w:rsidRDefault="00DF7FFA" w:rsidP="000C28B9">
            <w:pPr>
              <w:rPr>
                <w:sz w:val="18"/>
                <w:szCs w:val="18"/>
                <w:highlight w:val="yellow"/>
              </w:rPr>
            </w:pPr>
            <w:r w:rsidRPr="002568FB">
              <w:rPr>
                <w:sz w:val="18"/>
                <w:szCs w:val="18"/>
                <w:highlight w:val="yellow"/>
              </w:rPr>
              <w:t>18.0</w:t>
            </w:r>
          </w:p>
        </w:tc>
      </w:tr>
    </w:tbl>
    <w:p w:rsidR="00DF7FFA" w:rsidRPr="00D75B45" w:rsidRDefault="00DF7FFA" w:rsidP="00DF7FFA">
      <w:pPr>
        <w:pStyle w:val="Body"/>
        <w:ind w:left="426" w:right="429"/>
        <w:rPr>
          <w:sz w:val="18"/>
          <w:szCs w:val="18"/>
        </w:rPr>
      </w:pPr>
      <w:r w:rsidRPr="002568FB">
        <w:rPr>
          <w:i/>
          <w:iCs/>
          <w:sz w:val="18"/>
          <w:szCs w:val="18"/>
          <w:highlight w:val="yellow"/>
        </w:rPr>
        <w:t xml:space="preserve">Data Sources: </w:t>
      </w:r>
      <w:r w:rsidRPr="002568FB">
        <w:rPr>
          <w:iCs/>
          <w:sz w:val="18"/>
          <w:szCs w:val="18"/>
          <w:highlight w:val="yellow"/>
        </w:rPr>
        <w:t xml:space="preserve">Regime type classifications come from the Varieties of Democracy (V-DEM) database (https://www.v-dem.net/en/).  Electoral systems </w:t>
      </w:r>
      <w:r w:rsidR="00590E17" w:rsidRPr="002568FB">
        <w:rPr>
          <w:iCs/>
          <w:sz w:val="18"/>
          <w:szCs w:val="18"/>
          <w:highlight w:val="yellow"/>
        </w:rPr>
        <w:t>are coded by</w:t>
      </w:r>
      <w:r w:rsidRPr="002568FB">
        <w:rPr>
          <w:iCs/>
          <w:sz w:val="18"/>
          <w:szCs w:val="18"/>
          <w:highlight w:val="yellow"/>
        </w:rPr>
        <w:t xml:space="preserve"> the International Institute for Democracy and Electoral Assistance (https://www.idea.int/data-tools/data/electoral-system-design#). Women in parliament data </w:t>
      </w:r>
      <w:r w:rsidR="00590E17" w:rsidRPr="002568FB">
        <w:rPr>
          <w:iCs/>
          <w:sz w:val="18"/>
          <w:szCs w:val="18"/>
          <w:highlight w:val="yellow"/>
        </w:rPr>
        <w:t xml:space="preserve">are for February 2019 and come </w:t>
      </w:r>
      <w:r w:rsidRPr="002568FB">
        <w:rPr>
          <w:iCs/>
          <w:sz w:val="18"/>
          <w:szCs w:val="18"/>
          <w:highlight w:val="yellow"/>
        </w:rPr>
        <w:t xml:space="preserve">from the Inter-Parliamentary Union (http://archive.ipu.org/wmn-e/classif.htm).  </w:t>
      </w:r>
      <w:r w:rsidR="00590E17" w:rsidRPr="002568FB">
        <w:rPr>
          <w:iCs/>
          <w:sz w:val="18"/>
          <w:szCs w:val="18"/>
          <w:highlight w:val="yellow"/>
        </w:rPr>
        <w:t>All w</w:t>
      </w:r>
      <w:r w:rsidRPr="002568FB">
        <w:rPr>
          <w:iCs/>
          <w:sz w:val="18"/>
          <w:szCs w:val="18"/>
          <w:highlight w:val="yellow"/>
        </w:rPr>
        <w:t>ebsites were accessed on 29 November 2019.</w:t>
      </w:r>
      <w:r>
        <w:rPr>
          <w:iCs/>
          <w:sz w:val="18"/>
          <w:szCs w:val="18"/>
        </w:rPr>
        <w:t xml:space="preserve"> </w:t>
      </w:r>
      <w:r w:rsidRPr="00D75B45">
        <w:rPr>
          <w:sz w:val="18"/>
          <w:szCs w:val="18"/>
        </w:rPr>
        <w:t xml:space="preserve">  </w:t>
      </w:r>
    </w:p>
    <w:sectPr w:rsidR="00DF7FFA" w:rsidRPr="00D7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E4"/>
    <w:rsid w:val="00002CC5"/>
    <w:rsid w:val="000C28B9"/>
    <w:rsid w:val="000F651C"/>
    <w:rsid w:val="001E05F2"/>
    <w:rsid w:val="001E66D5"/>
    <w:rsid w:val="002568FB"/>
    <w:rsid w:val="002B23E4"/>
    <w:rsid w:val="00590E17"/>
    <w:rsid w:val="006E268E"/>
    <w:rsid w:val="00836850"/>
    <w:rsid w:val="00864D2C"/>
    <w:rsid w:val="009D2CBE"/>
    <w:rsid w:val="00DF7FFA"/>
    <w:rsid w:val="00F12232"/>
    <w:rsid w:val="00F24911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2B23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2B23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2B23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F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rsid w:val="002B23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2B23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2B23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SMU</cp:lastModifiedBy>
  <cp:revision>2</cp:revision>
  <dcterms:created xsi:type="dcterms:W3CDTF">2019-12-03T22:37:00Z</dcterms:created>
  <dcterms:modified xsi:type="dcterms:W3CDTF">2019-12-03T22:37:00Z</dcterms:modified>
</cp:coreProperties>
</file>